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0FC" w:rsidRPr="00B450FC" w:rsidRDefault="00B450FC" w:rsidP="00B450F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450FC">
        <w:rPr>
          <w:rFonts w:ascii="Times New Roman" w:eastAsia="Times New Roman" w:hAnsi="Times New Roman" w:cs="Times New Roman"/>
          <w:b/>
          <w:bCs/>
          <w:sz w:val="27"/>
          <w:szCs w:val="27"/>
        </w:rPr>
        <w:t>Reference</w:t>
      </w:r>
    </w:p>
    <w:p w:rsidR="00B450FC" w:rsidRPr="00B450FC" w:rsidRDefault="00B450FC" w:rsidP="00B450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50FC">
        <w:rPr>
          <w:rFonts w:ascii="Times New Roman" w:eastAsia="Times New Roman" w:hAnsi="Times New Roman" w:cs="Times New Roman"/>
          <w:b/>
          <w:iCs/>
          <w:sz w:val="24"/>
          <w:szCs w:val="24"/>
        </w:rPr>
        <w:t>of the applicant for the academic title of associate professor in the scientific field</w:t>
      </w:r>
      <w:r w:rsidRPr="00B450FC">
        <w:rPr>
          <w:rFonts w:ascii="Times New Roman" w:eastAsia="Times New Roman" w:hAnsi="Times New Roman" w:cs="Times New Roman"/>
          <w:b/>
          <w:iCs/>
          <w:sz w:val="24"/>
          <w:szCs w:val="24"/>
        </w:rPr>
        <w:br/>
        <w:t>21100 – Computer Science and Informatics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"/>
        <w:gridCol w:w="3851"/>
        <w:gridCol w:w="5157"/>
      </w:tblGrid>
      <w:tr w:rsidR="00BE19C1" w:rsidRPr="00BE19C1" w:rsidTr="00B450F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Information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Details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First name, surname (if any)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Yagaliyeva Bagdat Yessenovna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Academic degree (Candidate of Sciences, Doctor of Sciences, Doctor of Philosophy (PhD), Doctor of profile or academic degree of Doctor of Philosophy (PhD), Doctor of profile, date of award)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hAnsi="Times New Roman" w:cs="Times New Roman"/>
                <w:sz w:val="24"/>
                <w:szCs w:val="24"/>
              </w:rPr>
              <w:t xml:space="preserve">Candidate of Physical and Mathematical Sciences, Order No. 4 dated May 4, 2011, Diploma No.: </w:t>
            </w:r>
            <w:r w:rsidRPr="00BE19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ҒК</w:t>
            </w:r>
            <w:r w:rsidRPr="00BE19C1">
              <w:rPr>
                <w:rFonts w:ascii="Times New Roman" w:hAnsi="Times New Roman" w:cs="Times New Roman"/>
                <w:sz w:val="24"/>
                <w:szCs w:val="24"/>
              </w:rPr>
              <w:t xml:space="preserve"> No. 0007114.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Academic title, date of award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Honorary title, date of award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Position (date and number of the appointment order)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Associate Professor of the Department 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>“Cybersecurity, processing and storage of information”</w:t>
            </w: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KazNRTU named after 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>K. I. Satpayev</w:t>
            </w: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(appointment order No. 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1711 </w:t>
            </w: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dated 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>14.08.2023</w:t>
            </w: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Experience of scientific and pedagogical activity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3E60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years and </w:t>
            </w:r>
            <w:r w:rsidR="003E60C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months</w:t>
            </w: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including </w:t>
            </w:r>
            <w:r w:rsidR="003E60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years</w:t>
            </w:r>
            <w:r w:rsidR="003E6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  <w:r w:rsidR="003E60CC"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months</w:t>
            </w:r>
            <w:r w:rsidR="003E60CC"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 an associate professor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scientific articles after defending a dissertation / obtaining the academic title of associate professor</w:t>
            </w:r>
          </w:p>
        </w:tc>
        <w:tc>
          <w:tcPr>
            <w:tcW w:w="0" w:type="auto"/>
            <w:vAlign w:val="center"/>
            <w:hideMark/>
          </w:tcPr>
          <w:p w:rsidR="007C2FE2" w:rsidRPr="00BE19C1" w:rsidRDefault="007C2FE2" w:rsidP="007C2FE2">
            <w:pPr>
              <w:pStyle w:val="a4"/>
              <w:rPr>
                <w:b/>
              </w:rPr>
            </w:pPr>
            <w:r w:rsidRPr="00BE19C1">
              <w:t>The total number of published scientific works after defending the dissertation is</w:t>
            </w:r>
            <w:r w:rsidRPr="00BE19C1">
              <w:rPr>
                <w:b/>
              </w:rPr>
              <w:t xml:space="preserve"> </w:t>
            </w:r>
            <w:r w:rsidRPr="00BE19C1">
              <w:rPr>
                <w:rStyle w:val="a3"/>
                <w:b w:val="0"/>
              </w:rPr>
              <w:t xml:space="preserve">more than </w:t>
            </w:r>
            <w:r w:rsidR="003E60CC">
              <w:rPr>
                <w:rStyle w:val="a3"/>
                <w:b w:val="0"/>
              </w:rPr>
              <w:t>40</w:t>
            </w:r>
            <w:r w:rsidRPr="00BE19C1">
              <w:rPr>
                <w:b/>
              </w:rPr>
              <w:t xml:space="preserve">, </w:t>
            </w:r>
            <w:r w:rsidRPr="00BE19C1">
              <w:t>including</w:t>
            </w:r>
            <w:r w:rsidRPr="00BE19C1">
              <w:rPr>
                <w:b/>
              </w:rPr>
              <w:t>:</w:t>
            </w:r>
            <w:r w:rsidRPr="00BE19C1">
              <w:rPr>
                <w:b/>
              </w:rPr>
              <w:br/>
            </w:r>
            <w:r w:rsidRPr="00BE19C1">
              <w:t xml:space="preserve">• </w:t>
            </w:r>
            <w:r w:rsidRPr="00BE19C1">
              <w:rPr>
                <w:rStyle w:val="a3"/>
                <w:b w:val="0"/>
              </w:rPr>
              <w:t>1</w:t>
            </w:r>
            <w:r w:rsidR="003E60CC">
              <w:rPr>
                <w:rStyle w:val="a3"/>
                <w:b w:val="0"/>
              </w:rPr>
              <w:t>6</w:t>
            </w:r>
            <w:r w:rsidRPr="00BE19C1">
              <w:rPr>
                <w:rStyle w:val="a3"/>
                <w:b w:val="0"/>
              </w:rPr>
              <w:t xml:space="preserve"> articles</w:t>
            </w:r>
            <w:r w:rsidRPr="00BE19C1">
              <w:t xml:space="preserve"> in international peer-reviewed journals indexed in </w:t>
            </w:r>
            <w:r w:rsidRPr="00BE19C1">
              <w:rPr>
                <w:rStyle w:val="a3"/>
                <w:b w:val="0"/>
              </w:rPr>
              <w:t>Scopus</w:t>
            </w:r>
            <w:r w:rsidRPr="00BE19C1">
              <w:t xml:space="preserve"> and </w:t>
            </w:r>
            <w:r w:rsidRPr="00BE19C1">
              <w:rPr>
                <w:rStyle w:val="a3"/>
                <w:b w:val="0"/>
              </w:rPr>
              <w:t>Web of Science</w:t>
            </w:r>
            <w:r w:rsidRPr="00BE19C1">
              <w:t>, including:</w:t>
            </w:r>
            <w:r w:rsidRPr="00BE19C1">
              <w:br/>
            </w:r>
            <w:r w:rsidR="003E60CC">
              <w:t xml:space="preserve">– </w:t>
            </w:r>
            <w:r w:rsidR="003E60CC" w:rsidRPr="003E60CC">
              <w:rPr>
                <w:rStyle w:val="a3"/>
                <w:b w:val="0"/>
              </w:rPr>
              <w:t>1 article</w:t>
            </w:r>
            <w:r w:rsidR="003E60CC">
              <w:t xml:space="preserve"> published in a journal with a </w:t>
            </w:r>
            <w:r w:rsidR="003E60CC" w:rsidRPr="003E60CC">
              <w:rPr>
                <w:rStyle w:val="a3"/>
                <w:b w:val="0"/>
              </w:rPr>
              <w:t>percentile of 86</w:t>
            </w:r>
            <w:r w:rsidR="003E60CC" w:rsidRPr="003E60CC">
              <w:rPr>
                <w:b/>
              </w:rPr>
              <w:t>;</w:t>
            </w:r>
            <w:r w:rsidR="003E60CC" w:rsidRPr="003E60CC">
              <w:rPr>
                <w:b/>
              </w:rPr>
              <w:br/>
            </w:r>
            <w:r w:rsidR="003E60CC">
              <w:t xml:space="preserve">– </w:t>
            </w:r>
            <w:r w:rsidR="003E60CC" w:rsidRPr="003E60CC">
              <w:rPr>
                <w:rStyle w:val="a3"/>
                <w:b w:val="0"/>
              </w:rPr>
              <w:t>1 article</w:t>
            </w:r>
            <w:r w:rsidR="003E60CC">
              <w:t xml:space="preserve"> published in a journal with a </w:t>
            </w:r>
            <w:r w:rsidR="003E60CC" w:rsidRPr="003E60CC">
              <w:rPr>
                <w:rStyle w:val="a3"/>
                <w:b w:val="0"/>
              </w:rPr>
              <w:t>percentile of 72</w:t>
            </w:r>
            <w:r w:rsidR="003E60CC" w:rsidRPr="003E60CC">
              <w:rPr>
                <w:b/>
              </w:rPr>
              <w:t>;</w:t>
            </w:r>
            <w:r w:rsidR="003E60CC" w:rsidRPr="003E60CC">
              <w:rPr>
                <w:b/>
              </w:rPr>
              <w:br/>
            </w:r>
            <w:r w:rsidR="003E60CC">
              <w:t xml:space="preserve">– </w:t>
            </w:r>
            <w:r w:rsidR="003E60CC" w:rsidRPr="003E60CC">
              <w:rPr>
                <w:rStyle w:val="a3"/>
                <w:b w:val="0"/>
              </w:rPr>
              <w:t>4 articles</w:t>
            </w:r>
            <w:r w:rsidR="003E60CC">
              <w:t xml:space="preserve"> published in journals with a </w:t>
            </w:r>
            <w:r w:rsidR="003E60CC" w:rsidRPr="003E60CC">
              <w:rPr>
                <w:rStyle w:val="a3"/>
                <w:b w:val="0"/>
              </w:rPr>
              <w:t>percentile above 30</w:t>
            </w:r>
            <w:r w:rsidR="003E60CC" w:rsidRPr="003E60CC">
              <w:rPr>
                <w:b/>
              </w:rPr>
              <w:t>;</w:t>
            </w:r>
            <w:r w:rsidRPr="003E60CC">
              <w:rPr>
                <w:b/>
              </w:rPr>
              <w:br/>
            </w:r>
            <w:r w:rsidRPr="00BE19C1">
              <w:t xml:space="preserve">• </w:t>
            </w:r>
            <w:r w:rsidRPr="00BE19C1">
              <w:rPr>
                <w:rStyle w:val="a3"/>
                <w:b w:val="0"/>
              </w:rPr>
              <w:t>6 articles</w:t>
            </w:r>
            <w:r w:rsidRPr="00BE19C1">
              <w:rPr>
                <w:b/>
              </w:rPr>
              <w:t xml:space="preserve"> </w:t>
            </w:r>
            <w:r w:rsidRPr="00BE19C1">
              <w:t xml:space="preserve">published in journals recommended by the </w:t>
            </w:r>
            <w:r w:rsidRPr="00BE19C1">
              <w:rPr>
                <w:rStyle w:val="a3"/>
                <w:b w:val="0"/>
              </w:rPr>
              <w:t>Committee for Quality Assurance in the field of Science and Higher Education of the Ministry of Science and Higher Education of the Republic of Kazakhstan</w:t>
            </w:r>
            <w:r w:rsidRPr="00BE19C1">
              <w:rPr>
                <w:b/>
              </w:rPr>
              <w:t>;</w:t>
            </w:r>
            <w:r w:rsidRPr="00BE19C1">
              <w:rPr>
                <w:b/>
              </w:rPr>
              <w:br/>
            </w:r>
            <w:r w:rsidRPr="00BE19C1">
              <w:t xml:space="preserve">• </w:t>
            </w:r>
            <w:r w:rsidRPr="00BE19C1">
              <w:rPr>
                <w:rStyle w:val="a3"/>
                <w:b w:val="0"/>
              </w:rPr>
              <w:t>11 articles</w:t>
            </w:r>
            <w:r w:rsidRPr="00BE19C1">
              <w:t xml:space="preserve"> in other scientific journals and publications;</w:t>
            </w:r>
            <w:r w:rsidRPr="00BE19C1">
              <w:br/>
              <w:t xml:space="preserve">• </w:t>
            </w:r>
            <w:r w:rsidRPr="00BE19C1">
              <w:rPr>
                <w:rStyle w:val="a3"/>
                <w:b w:val="0"/>
              </w:rPr>
              <w:t>7 publications</w:t>
            </w:r>
            <w:r w:rsidRPr="00BE19C1">
              <w:t xml:space="preserve"> in proceedings of international conferences;</w:t>
            </w:r>
            <w:r w:rsidRPr="00BE19C1">
              <w:br/>
              <w:t xml:space="preserve">• </w:t>
            </w:r>
            <w:r w:rsidRPr="00BE19C1">
              <w:rPr>
                <w:rStyle w:val="a3"/>
                <w:b w:val="0"/>
              </w:rPr>
              <w:t>4 copyright objects</w:t>
            </w:r>
            <w:r w:rsidRPr="00BE19C1">
              <w:rPr>
                <w:b/>
              </w:rPr>
              <w:t>.</w:t>
            </w:r>
          </w:p>
          <w:p w:rsidR="00B450FC" w:rsidRPr="00B450FC" w:rsidRDefault="007C2FE2" w:rsidP="002B0739">
            <w:pPr>
              <w:pStyle w:val="a4"/>
            </w:pPr>
            <w:r w:rsidRPr="00BE19C1">
              <w:rPr>
                <w:rStyle w:val="a3"/>
                <w:b w:val="0"/>
              </w:rPr>
              <w:t>Hirsch Index (h-index):</w:t>
            </w:r>
            <w:r w:rsidRPr="00BE19C1">
              <w:rPr>
                <w:b/>
              </w:rPr>
              <w:br/>
            </w:r>
            <w:r w:rsidRPr="00BE19C1">
              <w:t xml:space="preserve">– according to </w:t>
            </w:r>
            <w:r w:rsidRPr="00BE19C1">
              <w:rPr>
                <w:rStyle w:val="a3"/>
                <w:b w:val="0"/>
              </w:rPr>
              <w:t>Web of Science</w:t>
            </w:r>
            <w:r w:rsidRPr="00BE19C1">
              <w:rPr>
                <w:b/>
              </w:rPr>
              <w:t xml:space="preserve"> </w:t>
            </w:r>
            <w:r w:rsidR="002B0739">
              <w:rPr>
                <w:b/>
              </w:rPr>
              <w:t>–</w:t>
            </w:r>
            <w:r w:rsidRPr="00BE19C1">
              <w:rPr>
                <w:b/>
              </w:rPr>
              <w:t xml:space="preserve"> </w:t>
            </w:r>
            <w:r w:rsidRPr="00BE19C1">
              <w:rPr>
                <w:rStyle w:val="a3"/>
                <w:b w:val="0"/>
              </w:rPr>
              <w:t>2</w:t>
            </w:r>
            <w:r w:rsidR="002B0739">
              <w:rPr>
                <w:rStyle w:val="a3"/>
                <w:b w:val="0"/>
              </w:rPr>
              <w:t xml:space="preserve"> </w:t>
            </w:r>
            <w:r w:rsidRPr="00BE19C1">
              <w:rPr>
                <w:b/>
              </w:rPr>
              <w:t>;</w:t>
            </w:r>
            <w:r w:rsidRPr="00BE19C1">
              <w:rPr>
                <w:b/>
              </w:rPr>
              <w:br/>
            </w:r>
            <w:r w:rsidRPr="00BE19C1">
              <w:t xml:space="preserve">– according to </w:t>
            </w:r>
            <w:r w:rsidRPr="00BE19C1">
              <w:rPr>
                <w:rStyle w:val="a3"/>
                <w:b w:val="0"/>
              </w:rPr>
              <w:t>Scopus</w:t>
            </w:r>
            <w:r w:rsidRPr="00BE19C1">
              <w:rPr>
                <w:b/>
              </w:rPr>
              <w:t xml:space="preserve"> </w:t>
            </w:r>
            <w:r w:rsidR="002B0739">
              <w:rPr>
                <w:b/>
              </w:rPr>
              <w:t xml:space="preserve">– </w:t>
            </w:r>
            <w:r w:rsidRPr="00BE19C1">
              <w:rPr>
                <w:rStyle w:val="a3"/>
                <w:b w:val="0"/>
              </w:rPr>
              <w:t>4</w:t>
            </w:r>
            <w:r w:rsidRPr="00BE19C1">
              <w:rPr>
                <w:b/>
              </w:rPr>
              <w:t>.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number of monographs, textbooks, single-handedly written educational (teaching and </w:t>
            </w: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methodological) manuals published over the past 5 years</w:t>
            </w:r>
          </w:p>
        </w:tc>
        <w:tc>
          <w:tcPr>
            <w:tcW w:w="0" w:type="auto"/>
            <w:vAlign w:val="center"/>
            <w:hideMark/>
          </w:tcPr>
          <w:p w:rsidR="00B450FC" w:rsidRDefault="0026730C" w:rsidP="00B450FC">
            <w:pPr>
              <w:spacing w:after="0" w:line="240" w:lineRule="auto"/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BE19C1">
              <w:rPr>
                <w:rStyle w:val="a3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4 monographs</w:t>
            </w:r>
            <w:r w:rsidRPr="00BE19C1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19C1">
              <w:rPr>
                <w:rStyle w:val="a3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(co-authored):</w:t>
            </w:r>
            <w:r w:rsidRPr="00BE19C1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19C1">
              <w:rPr>
                <w:rStyle w:val="a3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2014, 2022, 2025</w:t>
            </w:r>
            <w:r w:rsidRPr="00BE19C1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BE19C1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• </w:t>
            </w:r>
            <w:r w:rsidRPr="00BE19C1">
              <w:rPr>
                <w:rStyle w:val="a3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1 учебное пособие / teaching manual</w:t>
            </w:r>
            <w:r w:rsidRPr="00BE19C1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19C1">
              <w:rPr>
                <w:rStyle w:val="a3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(co-authored): 2022</w:t>
            </w:r>
            <w:r w:rsidRPr="00BE19C1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36D1A" w:rsidRPr="00B450FC" w:rsidRDefault="00936D1A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6D1A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2025 – Two textbooks recommended by the MES RK Republican Educational and Methodological Council.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Persons who have defended their dissertation under his supervision and have an academic degree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26730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Laureates, prize-winners of national, international and foreign competitions prepared under his leadership</w:t>
            </w:r>
          </w:p>
        </w:tc>
        <w:tc>
          <w:tcPr>
            <w:tcW w:w="0" w:type="auto"/>
            <w:vAlign w:val="center"/>
            <w:hideMark/>
          </w:tcPr>
          <w:p w:rsidR="001E060C" w:rsidRPr="00BE19C1" w:rsidRDefault="001E060C" w:rsidP="001E060C">
            <w:pPr>
              <w:pStyle w:val="a4"/>
            </w:pPr>
            <w:r w:rsidRPr="00BE19C1">
              <w:t xml:space="preserve">Under her supervision, student </w:t>
            </w:r>
            <w:r w:rsidRPr="00BE19C1">
              <w:rPr>
                <w:rStyle w:val="a3"/>
                <w:b w:val="0"/>
              </w:rPr>
              <w:t>O. Utebay</w:t>
            </w:r>
            <w:r w:rsidRPr="00BE19C1">
              <w:t xml:space="preserve"> became the </w:t>
            </w:r>
            <w:r w:rsidRPr="00BE19C1">
              <w:rPr>
                <w:bCs/>
              </w:rPr>
              <w:t>winner (1st place)</w:t>
            </w:r>
            <w:r w:rsidRPr="00BE19C1">
              <w:t xml:space="preserve"> of the </w:t>
            </w:r>
            <w:r w:rsidRPr="00BE19C1">
              <w:rPr>
                <w:bCs/>
              </w:rPr>
              <w:t>national stage</w:t>
            </w:r>
            <w:r w:rsidRPr="00BE19C1">
              <w:t xml:space="preserve"> of the international competition </w:t>
            </w:r>
            <w:r w:rsidRPr="00BE19C1">
              <w:rPr>
                <w:bCs/>
              </w:rPr>
              <w:t>Huawei ICT Competition 2023–2024</w:t>
            </w:r>
            <w:r w:rsidRPr="00BE19C1">
              <w:t xml:space="preserve"> in the </w:t>
            </w:r>
            <w:r w:rsidRPr="00BE19C1">
              <w:rPr>
                <w:bCs/>
              </w:rPr>
              <w:t>Computing Track</w:t>
            </w:r>
            <w:r w:rsidRPr="00BE19C1">
              <w:t xml:space="preserve">, and also received the </w:t>
            </w:r>
            <w:r w:rsidRPr="00BE19C1">
              <w:rPr>
                <w:bCs/>
              </w:rPr>
              <w:t>Grand Prize</w:t>
            </w:r>
            <w:r w:rsidRPr="00BE19C1">
              <w:t xml:space="preserve"> at the </w:t>
            </w:r>
            <w:r w:rsidRPr="00BE19C1">
              <w:rPr>
                <w:bCs/>
              </w:rPr>
              <w:t>regional stage for the Middle East and Central Asia</w:t>
            </w:r>
            <w:r w:rsidRPr="00BE19C1">
              <w:t xml:space="preserve">, held in </w:t>
            </w:r>
            <w:r w:rsidRPr="00BE19C1">
              <w:rPr>
                <w:bCs/>
              </w:rPr>
              <w:t>Bahrain</w:t>
            </w:r>
            <w:r w:rsidRPr="00BE19C1">
              <w:t>.</w:t>
            </w:r>
          </w:p>
          <w:p w:rsidR="001E060C" w:rsidRPr="00BE19C1" w:rsidRDefault="001E060C" w:rsidP="001E060C">
            <w:pPr>
              <w:pStyle w:val="a4"/>
            </w:pPr>
            <w:r w:rsidRPr="00BE19C1">
              <w:t xml:space="preserve">In addition, under her supervision, </w:t>
            </w:r>
            <w:r w:rsidRPr="00BE19C1">
              <w:rPr>
                <w:bCs/>
              </w:rPr>
              <w:t>K. Erkenov</w:t>
            </w:r>
            <w:r w:rsidRPr="00BE19C1">
              <w:t xml:space="preserve"> became the </w:t>
            </w:r>
            <w:r w:rsidRPr="00BE19C1">
              <w:rPr>
                <w:bCs/>
              </w:rPr>
              <w:t>Grand Prize winner</w:t>
            </w:r>
            <w:r w:rsidRPr="00BE19C1">
              <w:t xml:space="preserve"> of the international competition </w:t>
            </w:r>
            <w:r w:rsidRPr="00BE19C1">
              <w:rPr>
                <w:bCs/>
              </w:rPr>
              <w:t>“The Best Student and the Best Student Project”</w:t>
            </w:r>
            <w:r w:rsidRPr="00BE19C1">
              <w:t xml:space="preserve">, organized by the </w:t>
            </w:r>
            <w:r w:rsidRPr="00BE19C1">
              <w:rPr>
                <w:bCs/>
              </w:rPr>
              <w:t>International Academy of Science, Culture and Art (IASC)</w:t>
            </w:r>
            <w:r w:rsidRPr="00BE19C1">
              <w:t xml:space="preserve"> (Paris, France, March 2024).</w:t>
            </w:r>
          </w:p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Champions or prize-winners of the World University Games, Asian Championships, Asian Games, Europe, World or Olympic Games prepared under his leadership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26730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19C1" w:rsidRPr="00BE19C1" w:rsidTr="00B450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9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B450FC" w:rsidRPr="00B450FC" w:rsidRDefault="00B450FC" w:rsidP="00B45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>Additional information</w:t>
            </w:r>
          </w:p>
        </w:tc>
        <w:tc>
          <w:tcPr>
            <w:tcW w:w="0" w:type="auto"/>
            <w:vAlign w:val="center"/>
            <w:hideMark/>
          </w:tcPr>
          <w:p w:rsidR="00BE19C1" w:rsidRPr="00BE19C1" w:rsidRDefault="00BE19C1" w:rsidP="00BE19C1">
            <w:pPr>
              <w:pStyle w:val="a4"/>
              <w:rPr>
                <w:b/>
              </w:rPr>
            </w:pPr>
            <w:r w:rsidRPr="00BE19C1">
              <w:t xml:space="preserve">• </w:t>
            </w:r>
            <w:r w:rsidRPr="00BE19C1">
              <w:rPr>
                <w:rStyle w:val="a3"/>
                <w:b w:val="0"/>
              </w:rPr>
              <w:t>Scholarship holder of the Bolashak Program (“500 Scientists”)</w:t>
            </w:r>
            <w:r w:rsidRPr="00BE19C1">
              <w:rPr>
                <w:b/>
              </w:rPr>
              <w:t>, May 27, 2024 – May 25, 2025;</w:t>
            </w:r>
            <w:r w:rsidRPr="00BE19C1">
              <w:rPr>
                <w:b/>
              </w:rPr>
              <w:br/>
            </w:r>
            <w:r w:rsidRPr="00BE19C1">
              <w:rPr>
                <w:rStyle w:val="a3"/>
                <w:b w:val="0"/>
              </w:rPr>
              <w:t>University of Illinois at Urbana-Champaign (USA)</w:t>
            </w:r>
            <w:r w:rsidRPr="00BE19C1">
              <w:rPr>
                <w:b/>
              </w:rPr>
              <w:t xml:space="preserve">, QS Ranking </w:t>
            </w:r>
            <w:r w:rsidRPr="00BE19C1">
              <w:rPr>
                <w:rStyle w:val="a3"/>
                <w:b w:val="0"/>
              </w:rPr>
              <w:t>#64</w:t>
            </w:r>
            <w:r w:rsidRPr="00BE19C1">
              <w:rPr>
                <w:b/>
              </w:rPr>
              <w:t>;</w:t>
            </w:r>
          </w:p>
          <w:p w:rsidR="00BE19C1" w:rsidRPr="00BE19C1" w:rsidRDefault="00BE19C1" w:rsidP="00BE19C1">
            <w:pPr>
              <w:pStyle w:val="a4"/>
              <w:rPr>
                <w:b/>
              </w:rPr>
            </w:pPr>
            <w:r w:rsidRPr="00BE19C1">
              <w:t xml:space="preserve">• </w:t>
            </w:r>
            <w:r w:rsidRPr="00BE19C1">
              <w:rPr>
                <w:rStyle w:val="a3"/>
              </w:rPr>
              <w:t>AP23489999</w:t>
            </w:r>
            <w:r w:rsidRPr="00BE19C1">
              <w:t xml:space="preserve"> – Development of an intelligent technology and digital platform for adaptive zoning of territories under conditions of climate dynamics, Ministry of Science and Higher Education of the Republic of Kazakhstan, </w:t>
            </w:r>
            <w:r w:rsidRPr="00BE19C1">
              <w:rPr>
                <w:rStyle w:val="a3"/>
                <w:b w:val="0"/>
              </w:rPr>
              <w:t>Satbayev University</w:t>
            </w:r>
            <w:r w:rsidRPr="00BE19C1">
              <w:rPr>
                <w:b/>
              </w:rPr>
              <w:t xml:space="preserve">, </w:t>
            </w:r>
            <w:r w:rsidRPr="00BE19C1">
              <w:rPr>
                <w:rStyle w:val="a3"/>
                <w:b w:val="0"/>
              </w:rPr>
              <w:t>2024–2026</w:t>
            </w:r>
            <w:r w:rsidRPr="00BE19C1">
              <w:rPr>
                <w:b/>
              </w:rPr>
              <w:t xml:space="preserve">, </w:t>
            </w:r>
            <w:r w:rsidRPr="00BE19C1">
              <w:rPr>
                <w:rStyle w:val="a3"/>
                <w:b w:val="0"/>
              </w:rPr>
              <w:t>Scientific Supervisor</w:t>
            </w:r>
            <w:r w:rsidRPr="00BE19C1">
              <w:rPr>
                <w:b/>
              </w:rPr>
              <w:t>;</w:t>
            </w:r>
          </w:p>
          <w:p w:rsidR="00BE19C1" w:rsidRPr="00BE19C1" w:rsidRDefault="00BE19C1" w:rsidP="00BE19C1">
            <w:pPr>
              <w:pStyle w:val="a4"/>
            </w:pPr>
            <w:r w:rsidRPr="00BE19C1">
              <w:t xml:space="preserve">• </w:t>
            </w:r>
            <w:r w:rsidRPr="00BE19C1">
              <w:rPr>
                <w:rStyle w:val="a3"/>
              </w:rPr>
              <w:t>AP08855887</w:t>
            </w:r>
            <w:r w:rsidRPr="00BE19C1">
              <w:t xml:space="preserve"> – “Development of an intelligent decision support system in the process of investing in cyber security systems”, Ministry of Science and Higher Education of the Republic of Kazakhstan, </w:t>
            </w:r>
            <w:r w:rsidRPr="00BE19C1">
              <w:rPr>
                <w:b/>
                <w:bCs/>
              </w:rPr>
              <w:t>YU</w:t>
            </w:r>
            <w:r w:rsidRPr="00BE19C1">
              <w:t xml:space="preserve">, </w:t>
            </w:r>
            <w:r w:rsidRPr="00BE19C1">
              <w:rPr>
                <w:b/>
                <w:bCs/>
              </w:rPr>
              <w:t>2020–2022</w:t>
            </w:r>
            <w:r w:rsidRPr="00BE19C1">
              <w:t xml:space="preserve">, </w:t>
            </w:r>
            <w:r w:rsidRPr="00BE19C1">
              <w:rPr>
                <w:b/>
                <w:bCs/>
              </w:rPr>
              <w:t>Responsible Executor</w:t>
            </w:r>
            <w:r w:rsidRPr="00BE19C1">
              <w:t>;</w:t>
            </w:r>
          </w:p>
          <w:p w:rsidR="00BE19C1" w:rsidRPr="00BE19C1" w:rsidRDefault="00BE19C1" w:rsidP="00BE19C1">
            <w:pPr>
              <w:pStyle w:val="a4"/>
            </w:pPr>
            <w:r w:rsidRPr="00BE19C1">
              <w:t xml:space="preserve">• </w:t>
            </w:r>
            <w:r w:rsidRPr="00BE19C1">
              <w:rPr>
                <w:rStyle w:val="a3"/>
              </w:rPr>
              <w:t>BR05236699</w:t>
            </w:r>
            <w:r w:rsidRPr="00BE19C1">
              <w:t xml:space="preserve"> – “Development of </w:t>
            </w:r>
            <w:bookmarkStart w:id="0" w:name="_GoBack"/>
            <w:bookmarkEnd w:id="0"/>
            <w:r w:rsidRPr="00BE19C1">
              <w:t xml:space="preserve">a digital adaptive educational environment using large-scale data analytics”, Ministry of Science and Higher </w:t>
            </w:r>
            <w:r w:rsidRPr="00BE19C1">
              <w:lastRenderedPageBreak/>
              <w:t xml:space="preserve">Education of the Republic of Kazakhstan, </w:t>
            </w:r>
            <w:r w:rsidRPr="00BE19C1">
              <w:rPr>
                <w:rStyle w:val="a3"/>
              </w:rPr>
              <w:t>SDU</w:t>
            </w:r>
            <w:r w:rsidRPr="00BE19C1">
              <w:t xml:space="preserve">, </w:t>
            </w:r>
            <w:r w:rsidRPr="00BE19C1">
              <w:rPr>
                <w:rStyle w:val="a3"/>
              </w:rPr>
              <w:t>2018–2020</w:t>
            </w:r>
            <w:r w:rsidRPr="00BE19C1">
              <w:t xml:space="preserve">, </w:t>
            </w:r>
            <w:r w:rsidRPr="00BE19C1">
              <w:rPr>
                <w:rStyle w:val="a3"/>
              </w:rPr>
              <w:t>Responsible Executor</w:t>
            </w:r>
            <w:r w:rsidRPr="00BE19C1">
              <w:t>;</w:t>
            </w:r>
          </w:p>
          <w:p w:rsidR="00BE19C1" w:rsidRPr="00BE19C1" w:rsidRDefault="00BE19C1" w:rsidP="00BE19C1">
            <w:pPr>
              <w:pStyle w:val="a4"/>
            </w:pPr>
            <w:r w:rsidRPr="00BE19C1">
              <w:t xml:space="preserve">• “Development of a national software complex for solving problems of the oil and gas industry”, Ministry of Science and Higher Education of the Republic of Kazakhstan, </w:t>
            </w:r>
            <w:r w:rsidRPr="00BE19C1">
              <w:rPr>
                <w:rStyle w:val="a3"/>
              </w:rPr>
              <w:t>KBTU</w:t>
            </w:r>
            <w:r w:rsidRPr="00BE19C1">
              <w:t xml:space="preserve">, </w:t>
            </w:r>
            <w:r w:rsidRPr="00BE19C1">
              <w:rPr>
                <w:rStyle w:val="a3"/>
              </w:rPr>
              <w:t>2015–2017</w:t>
            </w:r>
            <w:r w:rsidRPr="00BE19C1">
              <w:t xml:space="preserve">, </w:t>
            </w:r>
            <w:r w:rsidRPr="00BE19C1">
              <w:rPr>
                <w:rStyle w:val="a3"/>
              </w:rPr>
              <w:t>Leading Researcher</w:t>
            </w:r>
            <w:r w:rsidRPr="00BE19C1">
              <w:t>;</w:t>
            </w:r>
          </w:p>
          <w:p w:rsidR="00BE19C1" w:rsidRPr="00BE19C1" w:rsidRDefault="00BE19C1" w:rsidP="00BE19C1">
            <w:pPr>
              <w:pStyle w:val="a4"/>
            </w:pPr>
            <w:r w:rsidRPr="00BE19C1">
              <w:t xml:space="preserve">• “Development of intelligent systems for auditing and management of information security”, Ministry of Science and Higher Education of the Republic of Kazakhstan, </w:t>
            </w:r>
            <w:r w:rsidRPr="00BE19C1">
              <w:rPr>
                <w:rStyle w:val="a3"/>
              </w:rPr>
              <w:t>KBTU</w:t>
            </w:r>
            <w:r w:rsidRPr="00BE19C1">
              <w:t xml:space="preserve">, </w:t>
            </w:r>
            <w:r w:rsidRPr="00BE19C1">
              <w:rPr>
                <w:rStyle w:val="a3"/>
              </w:rPr>
              <w:t>2012–2014</w:t>
            </w:r>
            <w:r w:rsidRPr="00BE19C1">
              <w:t xml:space="preserve">, </w:t>
            </w:r>
            <w:r w:rsidRPr="00BE19C1">
              <w:rPr>
                <w:rStyle w:val="a3"/>
              </w:rPr>
              <w:t>Leading Researcher</w:t>
            </w:r>
            <w:r w:rsidRPr="00BE19C1">
              <w:t>;</w:t>
            </w:r>
          </w:p>
          <w:p w:rsidR="00BE19C1" w:rsidRPr="00BE19C1" w:rsidRDefault="00BE19C1" w:rsidP="00BE19C1">
            <w:pPr>
              <w:pStyle w:val="a4"/>
            </w:pPr>
            <w:r w:rsidRPr="00BE19C1">
              <w:t xml:space="preserve">• “Methods for studying the statics and dynamics of buried cavities in elastoplastic and anisotropic rock masses”, Ministry of Science and Higher Education of the Republic of Kazakhstan, </w:t>
            </w:r>
            <w:r w:rsidRPr="00BE19C1">
              <w:rPr>
                <w:rStyle w:val="a3"/>
              </w:rPr>
              <w:t>IMMash</w:t>
            </w:r>
            <w:r w:rsidRPr="00BE19C1">
              <w:t xml:space="preserve">, </w:t>
            </w:r>
            <w:r w:rsidRPr="00BE19C1">
              <w:rPr>
                <w:rStyle w:val="a3"/>
              </w:rPr>
              <w:t>2012–2014</w:t>
            </w:r>
            <w:r w:rsidRPr="00BE19C1">
              <w:t xml:space="preserve">, </w:t>
            </w:r>
            <w:r w:rsidRPr="00BE19C1">
              <w:rPr>
                <w:rStyle w:val="a3"/>
              </w:rPr>
              <w:t>Leading Researcher</w:t>
            </w:r>
            <w:r w:rsidRPr="00BE19C1">
              <w:t>.</w:t>
            </w:r>
          </w:p>
          <w:p w:rsidR="00B450FC" w:rsidRPr="00B450FC" w:rsidRDefault="00B450FC" w:rsidP="002673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C7F1F" w:rsidRDefault="00936D1A"/>
    <w:p w:rsidR="00BE19C1" w:rsidRDefault="00BE19C1"/>
    <w:p w:rsidR="00BE19C1" w:rsidRPr="00BE19C1" w:rsidRDefault="00BE19C1" w:rsidP="00BE19C1">
      <w:pPr>
        <w:pStyle w:val="3"/>
        <w:shd w:val="clear" w:color="auto" w:fill="FFFFFF"/>
        <w:spacing w:before="0" w:beforeAutospacing="0" w:after="0" w:afterAutospacing="0"/>
        <w:rPr>
          <w:rStyle w:val="a3"/>
          <w:b/>
          <w:sz w:val="24"/>
          <w:szCs w:val="24"/>
        </w:rPr>
      </w:pPr>
      <w:r w:rsidRPr="00BE19C1">
        <w:rPr>
          <w:rStyle w:val="a3"/>
          <w:b/>
          <w:sz w:val="24"/>
          <w:szCs w:val="24"/>
        </w:rPr>
        <w:t xml:space="preserve">Director of the Institute of Automation </w:t>
      </w:r>
    </w:p>
    <w:p w:rsidR="00BE19C1" w:rsidRDefault="00BE19C1" w:rsidP="00BE19C1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BE19C1">
        <w:rPr>
          <w:rStyle w:val="a3"/>
          <w:b/>
          <w:sz w:val="24"/>
          <w:szCs w:val="24"/>
        </w:rPr>
        <w:t>and Information Technologies,</w:t>
      </w:r>
      <w:r w:rsidRPr="00BE19C1">
        <w:rPr>
          <w:rStyle w:val="a3"/>
          <w:b/>
          <w:bCs/>
        </w:rPr>
        <w:br/>
      </w:r>
      <w:r w:rsidRPr="00BE19C1">
        <w:rPr>
          <w:rStyle w:val="a3"/>
          <w:b/>
          <w:sz w:val="24"/>
          <w:szCs w:val="24"/>
        </w:rPr>
        <w:t>Satbayev University</w:t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</w:r>
      <w:r w:rsidRPr="00BE19C1">
        <w:rPr>
          <w:rStyle w:val="a3"/>
          <w:b/>
          <w:sz w:val="24"/>
          <w:szCs w:val="24"/>
        </w:rPr>
        <w:tab/>
        <w:t>Y.A. Daineko</w:t>
      </w:r>
      <w:r>
        <w:rPr>
          <w:rFonts w:ascii="Arial" w:hAnsi="Arial" w:cs="Arial"/>
        </w:rPr>
        <w:t> </w:t>
      </w:r>
    </w:p>
    <w:p w:rsidR="00BE19C1" w:rsidRPr="00BE19C1" w:rsidRDefault="00BE19C1" w:rsidP="00BE19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19C1" w:rsidRPr="00BE1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FC"/>
    <w:rsid w:val="001E060C"/>
    <w:rsid w:val="0026730C"/>
    <w:rsid w:val="002B0739"/>
    <w:rsid w:val="003E60CC"/>
    <w:rsid w:val="005530AA"/>
    <w:rsid w:val="0070618E"/>
    <w:rsid w:val="007C2FE2"/>
    <w:rsid w:val="00936D1A"/>
    <w:rsid w:val="00AD059C"/>
    <w:rsid w:val="00B450FC"/>
    <w:rsid w:val="00BE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D6273"/>
  <w15:chartTrackingRefBased/>
  <w15:docId w15:val="{B56ADC9B-ABC8-4F3B-BAE1-724FFEB1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450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450F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B450FC"/>
    <w:rPr>
      <w:b/>
      <w:bCs/>
    </w:rPr>
  </w:style>
  <w:style w:type="paragraph" w:styleId="a4">
    <w:name w:val="Normal (Web)"/>
    <w:basedOn w:val="a"/>
    <w:uiPriority w:val="99"/>
    <w:unhideWhenUsed/>
    <w:rsid w:val="00B45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450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9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1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5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724</Words>
  <Characters>4131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azama</dc:creator>
  <cp:keywords/>
  <dc:description/>
  <cp:lastModifiedBy>azama</cp:lastModifiedBy>
  <cp:revision>12</cp:revision>
  <dcterms:created xsi:type="dcterms:W3CDTF">2026-01-16T07:24:00Z</dcterms:created>
  <dcterms:modified xsi:type="dcterms:W3CDTF">2026-01-21T10:27:00Z</dcterms:modified>
</cp:coreProperties>
</file>